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5FA21" w14:textId="77777777" w:rsidR="00731A86" w:rsidRPr="00731A86" w:rsidRDefault="00731A86" w:rsidP="00731A86">
      <w:pPr>
        <w:rPr>
          <w:b/>
          <w:bCs/>
        </w:rPr>
      </w:pPr>
      <w:r w:rsidRPr="00731A86">
        <w:rPr>
          <w:b/>
          <w:bCs/>
        </w:rPr>
        <w:t>Tijdelijke wijziging mazelenbeleid in Vlaanderen</w:t>
      </w:r>
    </w:p>
    <w:p w14:paraId="3829AB04" w14:textId="77777777" w:rsidR="00731A86" w:rsidRPr="00731A86" w:rsidRDefault="00731A86" w:rsidP="00731A86">
      <w:r w:rsidRPr="00731A86">
        <w:br/>
        <w:t>Geachte mevrouw,</w:t>
      </w:r>
      <w:r w:rsidRPr="00731A86">
        <w:br/>
        <w:t>geachte heer,</w:t>
      </w:r>
      <w:r w:rsidRPr="00731A86">
        <w:br/>
      </w:r>
      <w:r w:rsidRPr="00731A86">
        <w:br/>
        <w:t>In juli informeerden wij u over de tijdelijke aanpassing van het mazelenbeleid (</w:t>
      </w:r>
      <w:hyperlink r:id="rId5" w:tgtFrame="_blank" w:history="1">
        <w:r w:rsidRPr="00731A86">
          <w:rPr>
            <w:rStyle w:val="Hyperlink"/>
          </w:rPr>
          <w:t>allesovervaccineren.be</w:t>
        </w:r>
      </w:hyperlink>
      <w:r w:rsidRPr="00731A86">
        <w:t>). Deze aanpassing was noodzakelijk om voldoende vaccins beschikbaar te houden voor de meest kwetsbare groepen. Wij hebben een positieve respons op deze communicatie waargenomen, en het aantal bestellingen is inmiddels genormaliseerd. Hiervoor willen wij u bedanken. Dankzij deze respons kunnen we enkele aanpassingen terugschroeven.</w:t>
      </w:r>
      <w:r w:rsidRPr="00731A86">
        <w:br/>
      </w:r>
      <w:r w:rsidRPr="00731A86">
        <w:br/>
        <w:t>1) Huidige situatie</w:t>
      </w:r>
      <w:r w:rsidRPr="00731A86">
        <w:br/>
      </w:r>
      <w:r w:rsidRPr="00731A86">
        <w:br/>
        <w:t>Tot en met midden augustus (16/08/2024) zijn er in 2024 in Vlaanderen 116 gevallen van mazelen gerapporteerd.</w:t>
      </w:r>
      <w:r w:rsidRPr="00731A86">
        <w:br/>
        <w:t>Hiervan waren 63 gevallen niet gevaccineerd (54%) en van 33 gevallen was de vaccinatiestatus onbekend (28%). In totaal werden er minstens 31 gevallen gehospitaliseerd (27%). De groep met het hoogste aantal gevallen zijn kinderen tussen 1 en 9 jaar (48 gevallen, 41.4% in Vlaanderen). Volwassenen tussen 25 en 44 jaar vertegenwoordigen nu 21.6% van de gevallen (25 gevallen).</w:t>
      </w:r>
      <w:r w:rsidRPr="00731A86">
        <w:br/>
      </w:r>
      <w:r w:rsidRPr="00731A86">
        <w:br/>
        <w:t>2) MBR Vaccinatie </w:t>
      </w:r>
      <w:r w:rsidRPr="00731A86">
        <w:br/>
      </w:r>
      <w:r w:rsidRPr="00731A86">
        <w:br/>
        <w:t>We slagen erin om de nodige MBR vaccins voor basisvaccinatie van kinderen tijdig te voorzien, ondanks een vertraging op de leveringen naar ons toe, en zullen dat ook de komende weken kunnen doen.</w:t>
      </w:r>
      <w:r w:rsidRPr="00731A86">
        <w:br/>
        <w:t>De vraag naar MBR vaccins is echter in heel Europa verder gestegen. Het blijft daarom belangrijk om de beschikbare vaccins zo efficiënt mogelijk in te zetten. We kunnen daarom nog niet volledig het beleid herstellen. We volgen de voorraad beschikbare vaccins nauwkeurig op en zullen op basis hiervan onze adviezen nog verder bijsturen in de komende weken.</w:t>
      </w:r>
      <w:r w:rsidRPr="00731A86">
        <w:br/>
      </w:r>
      <w:r w:rsidRPr="00731A86">
        <w:br/>
        <w:t>Op dit moment kunnen we</w:t>
      </w:r>
      <w:r w:rsidRPr="00731A86">
        <w:rPr>
          <w:b/>
          <w:bCs/>
        </w:rPr>
        <w:t> terug inhaalvaccinatie van kinderen en jongeren tot de leeftijd van 18 jaar met twee dosissen toelaten en aanbevelen. Echter bij volwassenen blijft inhaalvaccinatie beperkt tot onbeschermde gezondheidswerkers (1 dosis).</w:t>
      </w:r>
      <w:r w:rsidRPr="00731A86">
        <w:br/>
      </w:r>
      <w:r w:rsidRPr="00731A86">
        <w:br/>
        <w:t>Kinderen blijven immers de meest getroffen groep in de huidige uitbraak, en vormen ook het grootste risico op uitbraken in de toekomst indien ze on(volledig) gevaccineerd blijven. We behouden de prioritering zoals beschreven in juli, met enkele aanpassingen:</w:t>
      </w:r>
      <w:r w:rsidRPr="00731A86">
        <w:br/>
      </w:r>
      <w:r w:rsidRPr="00731A86">
        <w:br/>
        <w:t>1)</w:t>
      </w:r>
      <w:r w:rsidRPr="00731A86">
        <w:rPr>
          <w:b/>
          <w:bCs/>
        </w:rPr>
        <w:t xml:space="preserve"> Post-exposure vaccinatie en randvaccinatie </w:t>
      </w:r>
      <w:r w:rsidRPr="00731A86">
        <w:t xml:space="preserve">rond nieuwe gevallen van mazelen, volgens onze richtlijn, is absoluut noodzakelijk, met als enige beperking: </w:t>
      </w:r>
    </w:p>
    <w:p w14:paraId="31928901" w14:textId="77777777" w:rsidR="00731A86" w:rsidRPr="00731A86" w:rsidRDefault="00731A86" w:rsidP="00731A86">
      <w:pPr>
        <w:numPr>
          <w:ilvl w:val="0"/>
          <w:numId w:val="1"/>
        </w:numPr>
      </w:pPr>
      <w:r w:rsidRPr="00731A86">
        <w:t>Voorlopig slechts een eerste dosis toedienen bij volwassenen die nog niet gevaccineerd zijn; </w:t>
      </w:r>
      <w:r w:rsidRPr="00731A86">
        <w:rPr>
          <w:b/>
          <w:bCs/>
        </w:rPr>
        <w:t>voor kinderen (&lt;18) mag de tweede dosis wel ingepland worden. </w:t>
      </w:r>
    </w:p>
    <w:p w14:paraId="5D9EA8F4" w14:textId="77777777" w:rsidR="00731A86" w:rsidRPr="00731A86" w:rsidRDefault="00731A86" w:rsidP="00731A86">
      <w:r w:rsidRPr="00731A86">
        <w:t>2)</w:t>
      </w:r>
      <w:r w:rsidRPr="00731A86">
        <w:rPr>
          <w:b/>
          <w:bCs/>
        </w:rPr>
        <w:t> Het basisvaccinatieprogramma </w:t>
      </w:r>
      <w:r w:rsidRPr="00731A86">
        <w:t xml:space="preserve">wordt verdergezet zoals het in vorig schooljaar verliep:   </w:t>
      </w:r>
    </w:p>
    <w:p w14:paraId="2AC47E52" w14:textId="77777777" w:rsidR="00731A86" w:rsidRPr="00731A86" w:rsidRDefault="00731A86" w:rsidP="00731A86">
      <w:pPr>
        <w:numPr>
          <w:ilvl w:val="0"/>
          <w:numId w:val="2"/>
        </w:numPr>
      </w:pPr>
      <w:r w:rsidRPr="00731A86">
        <w:t>eerste dosis MBR voor jonge kinderen (12 maanden)</w:t>
      </w:r>
    </w:p>
    <w:p w14:paraId="4F2ED5EC" w14:textId="77777777" w:rsidR="00731A86" w:rsidRPr="00731A86" w:rsidRDefault="00731A86" w:rsidP="00731A86">
      <w:pPr>
        <w:numPr>
          <w:ilvl w:val="0"/>
          <w:numId w:val="2"/>
        </w:numPr>
      </w:pPr>
      <w:r w:rsidRPr="00731A86">
        <w:lastRenderedPageBreak/>
        <w:t>tweede dosis voor leerlingen in het 4e leerjaar (leeftijd 9 jaar), zoveel mogelijk in het najaar</w:t>
      </w:r>
    </w:p>
    <w:p w14:paraId="52D1992C" w14:textId="77777777" w:rsidR="00731A86" w:rsidRPr="00731A86" w:rsidRDefault="00731A86" w:rsidP="00731A86">
      <w:pPr>
        <w:numPr>
          <w:ilvl w:val="0"/>
          <w:numId w:val="2"/>
        </w:numPr>
      </w:pPr>
      <w:r w:rsidRPr="00731A86">
        <w:t xml:space="preserve">volledige inhaalvaccinatie van niet gevaccineerde jongeren (&lt; 18j) met </w:t>
      </w:r>
      <w:r w:rsidRPr="00731A86">
        <w:rPr>
          <w:b/>
          <w:bCs/>
        </w:rPr>
        <w:t>2 dosissen</w:t>
      </w:r>
      <w:r w:rsidRPr="00731A86">
        <w:t>.</w:t>
      </w:r>
    </w:p>
    <w:p w14:paraId="4DEE100A" w14:textId="77777777" w:rsidR="00731A86" w:rsidRPr="00731A86" w:rsidRDefault="00731A86" w:rsidP="00731A86">
      <w:r w:rsidRPr="00731A86">
        <w:t>Om voldoende vaccins te behouden voor de preventieve instellingen (Opgroeien en CLB), die de meeste van deze kinderen zien, vragen we u om hiervoor niet méér te bestellen dan u in andere omstandigheden zou doen.</w:t>
      </w:r>
      <w:r w:rsidRPr="00731A86">
        <w:br/>
      </w:r>
      <w:r w:rsidRPr="00731A86">
        <w:br/>
        <w:t>3)</w:t>
      </w:r>
      <w:r w:rsidRPr="00731A86">
        <w:rPr>
          <w:b/>
          <w:bCs/>
        </w:rPr>
        <w:t> </w:t>
      </w:r>
      <w:r w:rsidRPr="00731A86">
        <w:t>Inhaalvaccinatie van </w:t>
      </w:r>
      <w:r w:rsidRPr="00731A86">
        <w:rPr>
          <w:b/>
          <w:bCs/>
        </w:rPr>
        <w:t>zorgverleners die onbeschermd zijn tegen mazelen </w:t>
      </w:r>
      <w:r w:rsidRPr="00731A86">
        <w:t>wordt sterk aanbevolen: </w:t>
      </w:r>
      <w:r w:rsidRPr="00731A86">
        <w:br/>
        <w:t>Bij zorgverleners </w:t>
      </w:r>
      <w:r w:rsidRPr="00731A86">
        <w:rPr>
          <w:b/>
          <w:bCs/>
        </w:rPr>
        <w:t>geboren na 1970</w:t>
      </w:r>
      <w:r w:rsidRPr="00731A86">
        <w:t xml:space="preserve"> die niet zeker mazelen doormaakten en niet zeker gevaccineerd zijn met minstens één dosis, wordt </w:t>
      </w:r>
      <w:r w:rsidRPr="00731A86">
        <w:rPr>
          <w:b/>
          <w:bCs/>
        </w:rPr>
        <w:t>eerst serologie</w:t>
      </w:r>
      <w:r w:rsidRPr="00731A86">
        <w:t xml:space="preserve"> bepaald (mazelen IgG). Een positieve IgG waarde wijst op bescherming tegen mazelen (gevaccineerd of doorgemaakt). Op basis van dit resultaat kan al dan niet gevaccineerd worden. Voor alle </w:t>
      </w:r>
      <w:proofErr w:type="spellStart"/>
      <w:r w:rsidRPr="00731A86">
        <w:t>assays</w:t>
      </w:r>
      <w:proofErr w:type="spellEnd"/>
      <w:r w:rsidRPr="00731A86">
        <w:t xml:space="preserve"> gebruikt in laboratoria in Vlaanderen mag u ervan uitgaan dat een positief resultaat, indien dit herleid wordt tot de internationale standaard, boven de afkapwaarde ligt waar bescherming verondersteld wordt (</w:t>
      </w:r>
      <w:proofErr w:type="spellStart"/>
      <w:r w:rsidRPr="00731A86">
        <w:t>cfr</w:t>
      </w:r>
      <w:proofErr w:type="spellEnd"/>
      <w:r w:rsidRPr="00731A86">
        <w:t xml:space="preserve"> schrijven van juli).</w:t>
      </w:r>
      <w:r w:rsidRPr="00731A86">
        <w:br/>
        <w:t xml:space="preserve">Ook hier geldt verder de </w:t>
      </w:r>
      <w:r w:rsidRPr="00731A86">
        <w:rPr>
          <w:u w:val="single"/>
        </w:rPr>
        <w:t>tijdelijke</w:t>
      </w:r>
      <w:r w:rsidRPr="00731A86">
        <w:t xml:space="preserve"> beperking om momenteel geen tweede dosis toe te dienen. We herbekijken deze beperkingen zodra onze vaccinvoorraad dit toelaat.</w:t>
      </w:r>
      <w:r w:rsidRPr="00731A86">
        <w:br/>
      </w:r>
      <w:r w:rsidRPr="00731A86">
        <w:br/>
        <w:t>4)</w:t>
      </w:r>
      <w:r w:rsidRPr="00731A86">
        <w:rPr>
          <w:b/>
          <w:bCs/>
        </w:rPr>
        <w:t> </w:t>
      </w:r>
      <w:r w:rsidRPr="00731A86">
        <w:t>In de toekomst, indien we onze vaccinvoorraad kunnen uitbreiden met voldoende extra vaccins, voorzien we inhaalvaccinatie naar andere doelgroepen.</w:t>
      </w:r>
      <w:r w:rsidRPr="00731A86">
        <w:br/>
      </w:r>
      <w:r w:rsidRPr="00731A86">
        <w:br/>
        <w:t xml:space="preserve">In tussentijd vragen we u: </w:t>
      </w:r>
    </w:p>
    <w:p w14:paraId="40EA2E6B" w14:textId="77777777" w:rsidR="00731A86" w:rsidRPr="00731A86" w:rsidRDefault="00731A86" w:rsidP="00731A86">
      <w:pPr>
        <w:numPr>
          <w:ilvl w:val="0"/>
          <w:numId w:val="3"/>
        </w:numPr>
      </w:pPr>
      <w:r w:rsidRPr="00731A86">
        <w:t>MBR-vaccinaties uit het verleden, die nog niet in Vaccinnet staan, zeker te registreren, zowel voor kinderen als volwassenen;</w:t>
      </w:r>
    </w:p>
    <w:p w14:paraId="73039017" w14:textId="77777777" w:rsidR="00731A86" w:rsidRPr="00731A86" w:rsidRDefault="00731A86" w:rsidP="00731A86">
      <w:pPr>
        <w:numPr>
          <w:ilvl w:val="0"/>
          <w:numId w:val="3"/>
        </w:numPr>
      </w:pPr>
      <w:r w:rsidRPr="00731A86">
        <w:rPr>
          <w:b/>
          <w:bCs/>
        </w:rPr>
        <w:t>Tijdelijk nog geen volwassenen te vaccineren,</w:t>
      </w:r>
      <w:r w:rsidRPr="00731A86">
        <w:t xml:space="preserve"> zelfs als ze nog geen vaccindosis gekregen hebben </w:t>
      </w:r>
      <w:r w:rsidRPr="00731A86">
        <w:rPr>
          <w:b/>
          <w:bCs/>
        </w:rPr>
        <w:t> met uitzondering van zorgverleners;</w:t>
      </w:r>
    </w:p>
    <w:p w14:paraId="6ABBBEA9" w14:textId="77777777" w:rsidR="00731A86" w:rsidRPr="00731A86" w:rsidRDefault="00731A86" w:rsidP="00731A86">
      <w:pPr>
        <w:numPr>
          <w:ilvl w:val="0"/>
          <w:numId w:val="3"/>
        </w:numPr>
      </w:pPr>
      <w:r w:rsidRPr="00731A86">
        <w:t>Voor kinderen maximaal vaccinaties volgens het programma aan te bieden, ook inhaalvaccinatie met twee dosissen.</w:t>
      </w:r>
    </w:p>
    <w:p w14:paraId="52765F05" w14:textId="3F8E406C" w:rsidR="00437663" w:rsidRDefault="00731A86" w:rsidP="00731A86">
      <w:r w:rsidRPr="00731A86">
        <w:t>We beseffen dat deze maatregelen nog steeds ingaan tegen het principe van maximale groepsbescherming omdat onbeschermde volwassenen geen aanbod krijgen. Wij doen verder al het mogelijke om het beleid ook naar volwassenen terug te kunnen herstellen.</w:t>
      </w:r>
      <w:r w:rsidRPr="00731A86">
        <w:br/>
        <w:t> </w:t>
      </w:r>
      <w:r w:rsidRPr="00731A86">
        <w:br/>
        <w:t>Met vriendelijke groet,</w:t>
      </w:r>
      <w:r w:rsidRPr="00731A86">
        <w:br/>
      </w:r>
      <w:r w:rsidRPr="00731A86">
        <w:br/>
        <w:t xml:space="preserve">Karine </w:t>
      </w:r>
      <w:proofErr w:type="spellStart"/>
      <w:r w:rsidRPr="00731A86">
        <w:t>Moykens</w:t>
      </w:r>
      <w:proofErr w:type="spellEnd"/>
      <w:r w:rsidRPr="00731A86">
        <w:br/>
        <w:t>Secretaris-generaal</w:t>
      </w:r>
      <w:r w:rsidRPr="00731A86">
        <w:br/>
        <w:t>Departement Zorg</w:t>
      </w:r>
    </w:p>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D090C"/>
    <w:multiLevelType w:val="multilevel"/>
    <w:tmpl w:val="8DBCC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F3D83"/>
    <w:multiLevelType w:val="multilevel"/>
    <w:tmpl w:val="F6662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66560C"/>
    <w:multiLevelType w:val="multilevel"/>
    <w:tmpl w:val="877E4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98450613">
    <w:abstractNumId w:val="2"/>
    <w:lvlOverride w:ilvl="0"/>
    <w:lvlOverride w:ilvl="1"/>
    <w:lvlOverride w:ilvl="2"/>
    <w:lvlOverride w:ilvl="3"/>
    <w:lvlOverride w:ilvl="4"/>
    <w:lvlOverride w:ilvl="5"/>
    <w:lvlOverride w:ilvl="6"/>
    <w:lvlOverride w:ilvl="7"/>
    <w:lvlOverride w:ilvl="8"/>
  </w:num>
  <w:num w:numId="2" w16cid:durableId="1831287952">
    <w:abstractNumId w:val="0"/>
    <w:lvlOverride w:ilvl="0"/>
    <w:lvlOverride w:ilvl="1"/>
    <w:lvlOverride w:ilvl="2"/>
    <w:lvlOverride w:ilvl="3"/>
    <w:lvlOverride w:ilvl="4"/>
    <w:lvlOverride w:ilvl="5"/>
    <w:lvlOverride w:ilvl="6"/>
    <w:lvlOverride w:ilvl="7"/>
    <w:lvlOverride w:ilvl="8"/>
  </w:num>
  <w:num w:numId="3" w16cid:durableId="52109058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86"/>
    <w:rsid w:val="002331D9"/>
    <w:rsid w:val="002F5241"/>
    <w:rsid w:val="00437663"/>
    <w:rsid w:val="00635A2E"/>
    <w:rsid w:val="00731A86"/>
    <w:rsid w:val="00CF5A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39FA"/>
  <w15:chartTrackingRefBased/>
  <w15:docId w15:val="{66FC83CC-68E8-441D-95FC-8C04A23C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1A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1A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1A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1A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1A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1A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1A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1A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1A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1A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1A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1A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1A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1A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1A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1A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1A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1A86"/>
    <w:rPr>
      <w:rFonts w:eastAsiaTheme="majorEastAsia" w:cstheme="majorBidi"/>
      <w:color w:val="272727" w:themeColor="text1" w:themeTint="D8"/>
    </w:rPr>
  </w:style>
  <w:style w:type="paragraph" w:styleId="Titel">
    <w:name w:val="Title"/>
    <w:basedOn w:val="Standaard"/>
    <w:next w:val="Standaard"/>
    <w:link w:val="TitelChar"/>
    <w:uiPriority w:val="10"/>
    <w:qFormat/>
    <w:rsid w:val="00731A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1A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1A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1A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1A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1A86"/>
    <w:rPr>
      <w:i/>
      <w:iCs/>
      <w:color w:val="404040" w:themeColor="text1" w:themeTint="BF"/>
    </w:rPr>
  </w:style>
  <w:style w:type="paragraph" w:styleId="Lijstalinea">
    <w:name w:val="List Paragraph"/>
    <w:basedOn w:val="Standaard"/>
    <w:uiPriority w:val="34"/>
    <w:qFormat/>
    <w:rsid w:val="00731A86"/>
    <w:pPr>
      <w:ind w:left="720"/>
      <w:contextualSpacing/>
    </w:pPr>
  </w:style>
  <w:style w:type="character" w:styleId="Intensievebenadrukking">
    <w:name w:val="Intense Emphasis"/>
    <w:basedOn w:val="Standaardalinea-lettertype"/>
    <w:uiPriority w:val="21"/>
    <w:qFormat/>
    <w:rsid w:val="00731A86"/>
    <w:rPr>
      <w:i/>
      <w:iCs/>
      <w:color w:val="0F4761" w:themeColor="accent1" w:themeShade="BF"/>
    </w:rPr>
  </w:style>
  <w:style w:type="paragraph" w:styleId="Duidelijkcitaat">
    <w:name w:val="Intense Quote"/>
    <w:basedOn w:val="Standaard"/>
    <w:next w:val="Standaard"/>
    <w:link w:val="DuidelijkcitaatChar"/>
    <w:uiPriority w:val="30"/>
    <w:qFormat/>
    <w:rsid w:val="00731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1A86"/>
    <w:rPr>
      <w:i/>
      <w:iCs/>
      <w:color w:val="0F4761" w:themeColor="accent1" w:themeShade="BF"/>
    </w:rPr>
  </w:style>
  <w:style w:type="character" w:styleId="Intensieveverwijzing">
    <w:name w:val="Intense Reference"/>
    <w:basedOn w:val="Standaardalinea-lettertype"/>
    <w:uiPriority w:val="32"/>
    <w:qFormat/>
    <w:rsid w:val="00731A86"/>
    <w:rPr>
      <w:b/>
      <w:bCs/>
      <w:smallCaps/>
      <w:color w:val="0F4761" w:themeColor="accent1" w:themeShade="BF"/>
      <w:spacing w:val="5"/>
    </w:rPr>
  </w:style>
  <w:style w:type="character" w:styleId="Hyperlink">
    <w:name w:val="Hyperlink"/>
    <w:basedOn w:val="Standaardalinea-lettertype"/>
    <w:uiPriority w:val="99"/>
    <w:unhideWhenUsed/>
    <w:rsid w:val="00731A86"/>
    <w:rPr>
      <w:color w:val="467886" w:themeColor="hyperlink"/>
      <w:u w:val="single"/>
    </w:rPr>
  </w:style>
  <w:style w:type="character" w:styleId="Onopgelostemelding">
    <w:name w:val="Unresolved Mention"/>
    <w:basedOn w:val="Standaardalinea-lettertype"/>
    <w:uiPriority w:val="99"/>
    <w:semiHidden/>
    <w:unhideWhenUsed/>
    <w:rsid w:val="00731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72240">
      <w:bodyDiv w:val="1"/>
      <w:marLeft w:val="0"/>
      <w:marRight w:val="0"/>
      <w:marTop w:val="0"/>
      <w:marBottom w:val="0"/>
      <w:divBdr>
        <w:top w:val="none" w:sz="0" w:space="0" w:color="auto"/>
        <w:left w:val="none" w:sz="0" w:space="0" w:color="auto"/>
        <w:bottom w:val="none" w:sz="0" w:space="0" w:color="auto"/>
        <w:right w:val="none" w:sz="0" w:space="0" w:color="auto"/>
      </w:divBdr>
    </w:div>
    <w:div w:id="13492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5.safelinks.protection.outlook.com/?url=https%3A%2F%2Fdepartementzorg.us15.list-manage.com%2Ftrack%2Fclick%3Fu%3D2177eed07831d845a89551d02%26id%3Db712597787%26e%3Dcbdfc5edc1&amp;data=05%7C02%7Ckristel.aerts%40hpovzw.be%7C542bef754eba4d3581f908dccd6dae22%7C3317b413a52e46c19cd7a0eabdc730e8%7C0%7C0%7C638611118164701926%7CUnknown%7CTWFpbGZsb3d8eyJWIjoiMC4wLjAwMDAiLCJQIjoiV2luMzIiLCJBTiI6Ik1haWwiLCJXVCI6Mn0%3D%7C0%7C%7C%7C&amp;sdata=svo%2FJqk44Z6t5XiYE5cy4%2Biy0jf4pgO0L9pkiTdw484%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4393</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2024-09-05T06:44:00Z</dcterms:created>
  <dcterms:modified xsi:type="dcterms:W3CDTF">2024-09-05T06:45:00Z</dcterms:modified>
</cp:coreProperties>
</file>